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46" w14:textId="77777777" w:rsidR="00910C7A" w:rsidRPr="00910C7A" w:rsidRDefault="0051218A" w:rsidP="00910C7A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en-IE"/>
        </w:rPr>
      </w:pPr>
      <w:r w:rsidRPr="004D7BD3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Title </w:t>
      </w:r>
      <w:r w:rsidR="00910C7A" w:rsidRPr="00AF5CE0">
        <w:rPr>
          <w:rFonts w:ascii="Times New Roman" w:hAnsi="Times New Roman" w:cs="Times New Roman"/>
          <w:i/>
          <w:iCs/>
          <w:lang w:val="en-US"/>
        </w:rPr>
        <w:t>“C</w:t>
      </w:r>
      <w:proofErr w:type="spellStart"/>
      <w:r w:rsidR="00910C7A" w:rsidRPr="00910C7A">
        <w:rPr>
          <w:rFonts w:ascii="Times New Roman" w:hAnsi="Times New Roman" w:cs="Times New Roman"/>
          <w:i/>
          <w:iCs/>
          <w:lang w:val="en-IE"/>
        </w:rPr>
        <w:t>hildren</w:t>
      </w:r>
      <w:proofErr w:type="spellEnd"/>
      <w:r w:rsidR="00910C7A" w:rsidRPr="00910C7A">
        <w:rPr>
          <w:rFonts w:ascii="Times New Roman" w:hAnsi="Times New Roman" w:cs="Times New Roman"/>
          <w:i/>
          <w:iCs/>
          <w:lang w:val="en-IE"/>
        </w:rPr>
        <w:t xml:space="preserve"> in the</w:t>
      </w:r>
      <w:r w:rsidR="00910C7A" w:rsidRPr="00910C7A">
        <w:rPr>
          <w:rFonts w:ascii="Times New Roman" w:hAnsi="Times New Roman" w:cs="Times New Roman"/>
          <w:lang w:val="en-IE"/>
        </w:rPr>
        <w:t xml:space="preserve"> </w:t>
      </w:r>
      <w:r w:rsidR="00910C7A" w:rsidRPr="00910C7A">
        <w:rPr>
          <w:rFonts w:ascii="Times New Roman" w:hAnsi="Times New Roman" w:cs="Times New Roman"/>
          <w:i/>
          <w:iCs/>
          <w:lang w:val="en-IE"/>
        </w:rPr>
        <w:t>prison nursery”</w:t>
      </w:r>
      <w:r w:rsidR="00910C7A" w:rsidRPr="00910C7A">
        <w:rPr>
          <w:rFonts w:ascii="Times New Roman" w:hAnsi="Times New Roman" w:cs="Times New Roman"/>
          <w:lang w:val="en-IE"/>
        </w:rPr>
        <w:t xml:space="preserve"> context</w:t>
      </w:r>
      <w:r w:rsidR="00910C7A" w:rsidRPr="00910C7A">
        <w:rPr>
          <w:rFonts w:ascii="Times New Roman" w:hAnsi="Times New Roman" w:cs="Times New Roman"/>
          <w:bCs/>
          <w:lang w:val="en-IE"/>
        </w:rPr>
        <w:t>: Global progress in adopting the Convention on the Rights of the Child in alignment with United Nations minimum standards of care in prisons.</w:t>
      </w:r>
    </w:p>
    <w:p w14:paraId="69783880" w14:textId="77777777" w:rsidR="0051218A" w:rsidRPr="004D7BD3" w:rsidRDefault="0051218A" w:rsidP="0051218A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41C7445" w14:textId="77777777" w:rsidR="0051218A" w:rsidRPr="004D7BD3" w:rsidRDefault="0051218A" w:rsidP="0051218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4D7BD3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Authors </w:t>
      </w:r>
    </w:p>
    <w:p w14:paraId="12A558E1" w14:textId="77777777" w:rsidR="0051218A" w:rsidRPr="004D7BD3" w:rsidRDefault="0051218A" w:rsidP="0051218A">
      <w:pPr>
        <w:spacing w:after="0" w:line="360" w:lineRule="auto"/>
        <w:jc w:val="both"/>
        <w:rPr>
          <w:rStyle w:val="Hyperlink"/>
          <w:rFonts w:ascii="Times New Roman" w:eastAsiaTheme="majorEastAsia" w:hAnsi="Times New Roman" w:cs="Times New Roman"/>
          <w:lang w:val="en-US"/>
        </w:rPr>
      </w:pPr>
      <w:r w:rsidRPr="004D7BD3">
        <w:rPr>
          <w:rFonts w:ascii="Times New Roman" w:hAnsi="Times New Roman" w:cs="Times New Roman"/>
          <w:lang w:val="en-US"/>
        </w:rPr>
        <w:t xml:space="preserve">Marie Claire Van Hout, Public Health Institute, Liverpool John </w:t>
      </w:r>
      <w:proofErr w:type="spellStart"/>
      <w:r w:rsidRPr="004D7BD3">
        <w:rPr>
          <w:rFonts w:ascii="Times New Roman" w:hAnsi="Times New Roman" w:cs="Times New Roman"/>
          <w:lang w:val="en-US"/>
        </w:rPr>
        <w:t>Moores</w:t>
      </w:r>
      <w:proofErr w:type="spellEnd"/>
      <w:r w:rsidRPr="004D7BD3">
        <w:rPr>
          <w:rFonts w:ascii="Times New Roman" w:hAnsi="Times New Roman" w:cs="Times New Roman"/>
          <w:lang w:val="en-US"/>
        </w:rPr>
        <w:t xml:space="preserve"> University, United Kingdom. Email: </w:t>
      </w:r>
      <w:hyperlink r:id="rId6" w:history="1">
        <w:r w:rsidRPr="004D7BD3">
          <w:rPr>
            <w:rStyle w:val="Hyperlink"/>
            <w:rFonts w:ascii="Times New Roman" w:eastAsiaTheme="majorEastAsia" w:hAnsi="Times New Roman" w:cs="Times New Roman"/>
            <w:lang w:val="en-US"/>
          </w:rPr>
          <w:t>m.c.vanhout@ljmu.ac.uk</w:t>
        </w:r>
      </w:hyperlink>
    </w:p>
    <w:p w14:paraId="6C4F7319" w14:textId="77777777" w:rsidR="0051218A" w:rsidRPr="004D7BD3" w:rsidRDefault="0051218A" w:rsidP="0051218A">
      <w:pPr>
        <w:spacing w:after="0" w:line="360" w:lineRule="auto"/>
        <w:jc w:val="both"/>
        <w:rPr>
          <w:rStyle w:val="Hyperlink"/>
          <w:rFonts w:ascii="Times New Roman" w:eastAsiaTheme="majorEastAsia" w:hAnsi="Times New Roman" w:cs="Times New Roman"/>
          <w:lang w:val="en-US" w:eastAsia="en-IE"/>
        </w:rPr>
      </w:pPr>
      <w:r w:rsidRPr="004D7BD3">
        <w:rPr>
          <w:rFonts w:ascii="Times New Roman" w:hAnsi="Times New Roman" w:cs="Times New Roman"/>
          <w:lang w:val="en-US"/>
        </w:rPr>
        <w:t xml:space="preserve">Simon Fleißner, Faculty of Health and Social Work, Frankfurt University of Applied Sciences, Germany. Email: </w:t>
      </w:r>
      <w:r w:rsidRPr="004D7BD3">
        <w:rPr>
          <w:rFonts w:ascii="Times New Roman" w:hAnsi="Times New Roman" w:cs="Times New Roman"/>
          <w:lang w:val="en-US" w:eastAsia="en-IE"/>
        </w:rPr>
        <w:t xml:space="preserve"> </w:t>
      </w:r>
      <w:hyperlink r:id="rId7" w:history="1">
        <w:r w:rsidRPr="004D7BD3">
          <w:rPr>
            <w:rStyle w:val="Hyperlink"/>
            <w:rFonts w:ascii="Times New Roman" w:eastAsiaTheme="majorEastAsia" w:hAnsi="Times New Roman" w:cs="Times New Roman"/>
            <w:lang w:val="en-US" w:eastAsia="en-IE"/>
          </w:rPr>
          <w:t>simon.fleissner@stud.fra-uas.de</w:t>
        </w:r>
      </w:hyperlink>
    </w:p>
    <w:p w14:paraId="3EFF6B3C" w14:textId="77777777" w:rsidR="0051218A" w:rsidRPr="004D7BD3" w:rsidRDefault="0051218A" w:rsidP="0051218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05186E">
        <w:rPr>
          <w:rFonts w:ascii="Times New Roman" w:hAnsi="Times New Roman" w:cs="Times New Roman"/>
          <w:lang w:val="en-US"/>
        </w:rPr>
        <w:t xml:space="preserve">Ulla-Britt </w:t>
      </w:r>
      <w:proofErr w:type="spellStart"/>
      <w:r w:rsidRPr="0005186E">
        <w:rPr>
          <w:rFonts w:ascii="Times New Roman" w:hAnsi="Times New Roman" w:cs="Times New Roman"/>
          <w:lang w:val="en-US"/>
        </w:rPr>
        <w:t>Klankwarth</w:t>
      </w:r>
      <w:proofErr w:type="spellEnd"/>
      <w:r w:rsidRPr="0005186E">
        <w:rPr>
          <w:rFonts w:ascii="Times New Roman" w:hAnsi="Times New Roman" w:cs="Times New Roman"/>
          <w:lang w:val="en-US"/>
        </w:rPr>
        <w:t>, Frankfurt University of Applied Sciences, Institute of Addiction Research Frankfurt</w:t>
      </w:r>
      <w:r>
        <w:rPr>
          <w:lang w:val="en-GB"/>
        </w:rPr>
        <w:t xml:space="preserve"> (</w:t>
      </w:r>
      <w:hyperlink r:id="rId8" w:history="1">
        <w:r>
          <w:rPr>
            <w:rStyle w:val="Hyperlink"/>
            <w:lang w:val="en-GB"/>
          </w:rPr>
          <w:t>ulla-britt.klankwarth@web.de</w:t>
        </w:r>
      </w:hyperlink>
      <w:r w:rsidRPr="0051218A">
        <w:rPr>
          <w:lang w:val="en-IE"/>
        </w:rPr>
        <w:t>)</w:t>
      </w:r>
    </w:p>
    <w:p w14:paraId="67C1BF07" w14:textId="77777777" w:rsidR="0051218A" w:rsidRPr="004D7BD3" w:rsidRDefault="0051218A" w:rsidP="0051218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D7BD3">
        <w:rPr>
          <w:rFonts w:ascii="Times New Roman" w:hAnsi="Times New Roman" w:cs="Times New Roman"/>
          <w:lang w:val="en-US"/>
        </w:rPr>
        <w:t xml:space="preserve">Heino Stöver, Faculty of Health and Social Work, Frankfurt University of Applied Sciences, Germany. Email: </w:t>
      </w:r>
      <w:hyperlink r:id="rId9" w:history="1">
        <w:r w:rsidRPr="004D7BD3">
          <w:rPr>
            <w:rStyle w:val="Hyperlink"/>
            <w:rFonts w:ascii="Times New Roman" w:eastAsiaTheme="majorEastAsia" w:hAnsi="Times New Roman" w:cs="Times New Roman"/>
            <w:lang w:val="en-US"/>
          </w:rPr>
          <w:t>hstoever@fb4.fra-uas.de</w:t>
        </w:r>
      </w:hyperlink>
    </w:p>
    <w:p w14:paraId="0ECA4E68" w14:textId="77777777" w:rsidR="0051218A" w:rsidRPr="004D7BD3" w:rsidRDefault="0051218A" w:rsidP="0051218A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E9B2453" w14:textId="77777777" w:rsidR="0051218A" w:rsidRPr="004D7BD3" w:rsidRDefault="0051218A" w:rsidP="0051218A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4D7BD3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Abstract </w:t>
      </w:r>
    </w:p>
    <w:p w14:paraId="0186706A" w14:textId="77777777" w:rsidR="00F643E1" w:rsidRPr="00F643E1" w:rsidRDefault="00F643E1" w:rsidP="00F643E1">
      <w:pPr>
        <w:spacing w:after="0" w:line="360" w:lineRule="auto"/>
        <w:jc w:val="both"/>
        <w:rPr>
          <w:rFonts w:ascii="Times New Roman" w:hAnsi="Times New Roman" w:cs="Times New Roman"/>
          <w:lang w:val="en-IE"/>
        </w:rPr>
      </w:pPr>
      <w:r w:rsidRPr="00F643E1">
        <w:rPr>
          <w:rFonts w:ascii="Times New Roman" w:hAnsi="Times New Roman" w:cs="Times New Roman"/>
          <w:b/>
          <w:bCs/>
          <w:lang w:val="en-IE"/>
        </w:rPr>
        <w:t>Background:</w:t>
      </w:r>
      <w:r w:rsidRPr="00F643E1">
        <w:rPr>
          <w:rFonts w:ascii="Times New Roman" w:hAnsi="Times New Roman" w:cs="Times New Roman"/>
          <w:lang w:val="en-IE"/>
        </w:rPr>
        <w:t xml:space="preserve"> Out of the 11 million detained in prisons globally, the female prison population of 740,000 has increased by 50% since 2000. 410,000 children are in detention. 19,000 live in prison with their mother. </w:t>
      </w:r>
    </w:p>
    <w:p w14:paraId="1D934B61" w14:textId="77777777" w:rsidR="00F643E1" w:rsidRPr="00F643E1" w:rsidRDefault="00F643E1" w:rsidP="00F643E1">
      <w:pPr>
        <w:spacing w:after="0" w:line="360" w:lineRule="auto"/>
        <w:jc w:val="both"/>
        <w:rPr>
          <w:rFonts w:ascii="Times New Roman" w:hAnsi="Times New Roman" w:cs="Times New Roman"/>
          <w:bCs/>
          <w:lang w:val="en-IE"/>
        </w:rPr>
      </w:pPr>
      <w:r w:rsidRPr="00F643E1">
        <w:rPr>
          <w:rFonts w:ascii="Times New Roman" w:hAnsi="Times New Roman" w:cs="Times New Roman"/>
          <w:b/>
          <w:bCs/>
          <w:lang w:val="en-IE"/>
        </w:rPr>
        <w:t>Objective:</w:t>
      </w:r>
      <w:r w:rsidRPr="00F643E1">
        <w:rPr>
          <w:rFonts w:ascii="Times New Roman" w:hAnsi="Times New Roman" w:cs="Times New Roman"/>
          <w:bCs/>
          <w:lang w:val="en-IE"/>
        </w:rPr>
        <w:t xml:space="preserve"> </w:t>
      </w:r>
      <w:bookmarkStart w:id="0" w:name="_Hlk101252446"/>
      <w:r w:rsidRPr="00F643E1">
        <w:rPr>
          <w:rFonts w:ascii="Times New Roman" w:hAnsi="Times New Roman" w:cs="Times New Roman"/>
          <w:bCs/>
          <w:lang w:val="en-IE"/>
        </w:rPr>
        <w:t>To conduct a socio legal assessment of global progress in adopting the Convention on the Rights of the Child since 2010, and alignment with United Nations (UN) normative standards of care in prisons</w:t>
      </w:r>
      <w:bookmarkEnd w:id="0"/>
      <w:r w:rsidRPr="00F643E1">
        <w:rPr>
          <w:rFonts w:ascii="Times New Roman" w:hAnsi="Times New Roman" w:cs="Times New Roman"/>
          <w:bCs/>
          <w:lang w:val="en-IE"/>
        </w:rPr>
        <w:t xml:space="preserve">. </w:t>
      </w:r>
    </w:p>
    <w:p w14:paraId="36BF9CE9" w14:textId="77777777" w:rsidR="00F643E1" w:rsidRPr="00F643E1" w:rsidRDefault="00F643E1" w:rsidP="00F643E1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en-IE"/>
        </w:rPr>
      </w:pPr>
      <w:r w:rsidRPr="00F643E1">
        <w:rPr>
          <w:rFonts w:ascii="Times New Roman" w:hAnsi="Times New Roman" w:cs="Times New Roman"/>
          <w:b/>
          <w:bCs/>
          <w:color w:val="000000"/>
          <w:lang w:val="en-IE"/>
        </w:rPr>
        <w:t xml:space="preserve">Participants and Setting: </w:t>
      </w:r>
      <w:r w:rsidRPr="00F643E1">
        <w:rPr>
          <w:rFonts w:ascii="Times New Roman" w:hAnsi="Times New Roman" w:cs="Times New Roman"/>
          <w:color w:val="000000"/>
          <w:lang w:val="en-IE"/>
        </w:rPr>
        <w:t xml:space="preserve">Children detained with their mothers at the global level. </w:t>
      </w:r>
    </w:p>
    <w:p w14:paraId="6FF35F5C" w14:textId="77777777" w:rsidR="00F643E1" w:rsidRPr="00F643E1" w:rsidRDefault="00F643E1" w:rsidP="00F643E1">
      <w:pPr>
        <w:spacing w:after="0" w:line="360" w:lineRule="auto"/>
        <w:jc w:val="both"/>
        <w:rPr>
          <w:rFonts w:ascii="Times New Roman" w:hAnsi="Times New Roman" w:cs="Times New Roman"/>
          <w:bCs/>
          <w:lang w:val="en-IE"/>
        </w:rPr>
      </w:pPr>
      <w:r w:rsidRPr="00F643E1">
        <w:rPr>
          <w:rFonts w:ascii="Times New Roman" w:hAnsi="Times New Roman" w:cs="Times New Roman"/>
          <w:b/>
          <w:bCs/>
          <w:color w:val="000000"/>
          <w:lang w:val="en-IE"/>
        </w:rPr>
        <w:t>Methods</w:t>
      </w:r>
      <w:r w:rsidRPr="004D7BD3">
        <w:rPr>
          <w:rFonts w:ascii="Times New Roman" w:hAnsi="Times New Roman" w:cs="Times New Roman"/>
          <w:lang w:val="en-GB"/>
        </w:rPr>
        <w:t xml:space="preserve"> A comprehensive search of all published Concluding Observation</w:t>
      </w:r>
      <w:r>
        <w:rPr>
          <w:rFonts w:ascii="Times New Roman" w:hAnsi="Times New Roman" w:cs="Times New Roman"/>
          <w:lang w:val="en-GB"/>
        </w:rPr>
        <w:t xml:space="preserve"> reports</w:t>
      </w:r>
      <w:r w:rsidRPr="004D7BD3">
        <w:rPr>
          <w:rFonts w:ascii="Times New Roman" w:hAnsi="Times New Roman" w:cs="Times New Roman"/>
          <w:lang w:val="en-GB"/>
        </w:rPr>
        <w:t xml:space="preserve"> of the UN Committees on the Rights of the Child (CRC), Elimination of Discrimination Against Women (CEDAW), Against Torture (CAT) and Human Rights (CCPR) since 2010 (n=905). 316 CRC, 246 CEDAW, 173 CAT and 170 CCPR reports were scrutinised to </w:t>
      </w:r>
      <w:r>
        <w:rPr>
          <w:rFonts w:ascii="Times New Roman" w:hAnsi="Times New Roman" w:cs="Times New Roman"/>
          <w:lang w:val="en-GB"/>
        </w:rPr>
        <w:t>examine</w:t>
      </w:r>
      <w:r w:rsidRPr="004D7BD3">
        <w:rPr>
          <w:rFonts w:ascii="Times New Roman" w:hAnsi="Times New Roman" w:cs="Times New Roman"/>
          <w:lang w:val="en-GB"/>
        </w:rPr>
        <w:t xml:space="preserve"> the situation of children </w:t>
      </w:r>
      <w:r>
        <w:rPr>
          <w:rFonts w:ascii="Times New Roman" w:hAnsi="Times New Roman" w:cs="Times New Roman"/>
          <w:lang w:val="en-GB"/>
        </w:rPr>
        <w:t xml:space="preserve">living with incarcerated mothers </w:t>
      </w:r>
      <w:r w:rsidRPr="004D7BD3">
        <w:rPr>
          <w:rFonts w:ascii="Times New Roman" w:hAnsi="Times New Roman" w:cs="Times New Roman"/>
          <w:lang w:val="en-GB"/>
        </w:rPr>
        <w:t xml:space="preserve">against </w:t>
      </w:r>
      <w:r>
        <w:rPr>
          <w:rFonts w:ascii="Times New Roman" w:hAnsi="Times New Roman" w:cs="Times New Roman"/>
          <w:lang w:val="en-GB"/>
        </w:rPr>
        <w:t xml:space="preserve">UN </w:t>
      </w:r>
      <w:r w:rsidRPr="00F643E1">
        <w:rPr>
          <w:rFonts w:ascii="Times New Roman" w:hAnsi="Times New Roman" w:cs="Times New Roman"/>
          <w:bCs/>
          <w:lang w:val="en-IE"/>
        </w:rPr>
        <w:t>normative standards of care</w:t>
      </w:r>
      <w:r w:rsidRPr="00F643E1">
        <w:rPr>
          <w:rFonts w:ascii="Times New Roman" w:hAnsi="Times New Roman" w:cs="Times New Roman"/>
          <w:color w:val="000000"/>
          <w:lang w:val="en-IE"/>
        </w:rPr>
        <w:t xml:space="preserve">. </w:t>
      </w:r>
    </w:p>
    <w:p w14:paraId="669E444E" w14:textId="77777777" w:rsidR="00F643E1" w:rsidRPr="00F643E1" w:rsidRDefault="00F643E1" w:rsidP="00F643E1">
      <w:pPr>
        <w:spacing w:after="0" w:line="360" w:lineRule="auto"/>
        <w:jc w:val="both"/>
        <w:rPr>
          <w:rFonts w:ascii="Times New Roman" w:hAnsi="Times New Roman" w:cs="Times New Roman"/>
          <w:lang w:val="en-IE"/>
        </w:rPr>
      </w:pPr>
      <w:r w:rsidRPr="00F643E1">
        <w:rPr>
          <w:rFonts w:ascii="Times New Roman" w:hAnsi="Times New Roman" w:cs="Times New Roman"/>
          <w:b/>
          <w:bCs/>
          <w:color w:val="000000"/>
          <w:lang w:val="en-IE"/>
        </w:rPr>
        <w:t>Results</w:t>
      </w:r>
      <w:r w:rsidRPr="00F643E1">
        <w:rPr>
          <w:rFonts w:ascii="Times New Roman" w:hAnsi="Times New Roman" w:cs="Times New Roman"/>
          <w:color w:val="000000"/>
          <w:lang w:val="en-IE"/>
        </w:rPr>
        <w:t xml:space="preserve"> </w:t>
      </w:r>
      <w:r w:rsidRPr="004D7BD3">
        <w:rPr>
          <w:rFonts w:ascii="Times New Roman" w:hAnsi="Times New Roman" w:cs="Times New Roman"/>
          <w:lang w:val="en-GB"/>
        </w:rPr>
        <w:t>51 reports (24 CRC, 13 CEDAW, 12 CAT, 2 CCPR) representing 43 countries</w:t>
      </w:r>
      <w:r>
        <w:rPr>
          <w:rFonts w:ascii="Times New Roman" w:hAnsi="Times New Roman" w:cs="Times New Roman"/>
          <w:lang w:val="en-GB"/>
        </w:rPr>
        <w:t xml:space="preserve"> (majority in Africa)</w:t>
      </w:r>
      <w:r w:rsidRPr="004D7BD3">
        <w:rPr>
          <w:rFonts w:ascii="Times New Roman" w:hAnsi="Times New Roman" w:cs="Times New Roman"/>
          <w:lang w:val="en-GB"/>
        </w:rPr>
        <w:t xml:space="preserve"> contained direct violations</w:t>
      </w:r>
      <w:r>
        <w:rPr>
          <w:rFonts w:ascii="Times New Roman" w:hAnsi="Times New Roman" w:cs="Times New Roman"/>
          <w:lang w:val="en-GB"/>
        </w:rPr>
        <w:t xml:space="preserve"> of the best interests of the child. These include the treatment of children as prisoners, difficulties in securing identity documents, poor detention conditions, exposure to violence, lack of access to child-appropriate healthcare, and lack of transparent data.</w:t>
      </w:r>
      <w:r w:rsidRPr="008D780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Countries differed in </w:t>
      </w:r>
      <w:r w:rsidRPr="00D75557">
        <w:rPr>
          <w:rFonts w:ascii="Times New Roman" w:hAnsi="Times New Roman" w:cs="Times New Roman"/>
          <w:lang w:val="en-GB"/>
        </w:rPr>
        <w:t xml:space="preserve">durations of time permitting children to stay </w:t>
      </w:r>
      <w:r>
        <w:rPr>
          <w:rFonts w:ascii="Times New Roman" w:hAnsi="Times New Roman" w:cs="Times New Roman"/>
          <w:lang w:val="en-GB"/>
        </w:rPr>
        <w:t xml:space="preserve">in prison </w:t>
      </w:r>
      <w:r w:rsidRPr="00D75557">
        <w:rPr>
          <w:rFonts w:ascii="Times New Roman" w:hAnsi="Times New Roman" w:cs="Times New Roman"/>
          <w:lang w:val="en-GB"/>
        </w:rPr>
        <w:t>(</w:t>
      </w:r>
      <w:r w:rsidRPr="00F643E1">
        <w:rPr>
          <w:rFonts w:ascii="Times New Roman" w:hAnsi="Times New Roman" w:cs="Times New Roman"/>
          <w:lang w:val="en-IE"/>
        </w:rPr>
        <w:t>6 months to 8 years, with Eritrea observing no limit).</w:t>
      </w:r>
    </w:p>
    <w:p w14:paraId="60AF5626" w14:textId="77777777" w:rsidR="00F643E1" w:rsidRPr="00F643E1" w:rsidRDefault="00F643E1" w:rsidP="00F643E1">
      <w:pPr>
        <w:spacing w:after="0" w:line="360" w:lineRule="auto"/>
        <w:jc w:val="both"/>
        <w:rPr>
          <w:rFonts w:ascii="Times New Roman" w:hAnsi="Times New Roman" w:cs="Times New Roman"/>
          <w:lang w:val="en-IE"/>
        </w:rPr>
      </w:pPr>
      <w:r w:rsidRPr="00F643E1">
        <w:rPr>
          <w:rFonts w:ascii="Times New Roman" w:hAnsi="Times New Roman" w:cs="Times New Roman"/>
          <w:b/>
          <w:bCs/>
          <w:color w:val="000000"/>
          <w:lang w:val="en-IE"/>
        </w:rPr>
        <w:t>Conclusions</w:t>
      </w:r>
      <w:r w:rsidRPr="00F643E1">
        <w:rPr>
          <w:rFonts w:ascii="Times New Roman" w:hAnsi="Times New Roman" w:cs="Times New Roman"/>
          <w:color w:val="000000"/>
          <w:lang w:val="en-IE"/>
        </w:rPr>
        <w:t xml:space="preserve"> </w:t>
      </w:r>
      <w:r w:rsidRPr="00F643E1">
        <w:rPr>
          <w:rFonts w:ascii="Times New Roman" w:hAnsi="Times New Roman" w:cs="Times New Roman"/>
          <w:lang w:val="en-IE"/>
        </w:rPr>
        <w:t xml:space="preserve">Achieving a balance between protection of the child and punishment of the mother is inconsistent globally, and exacerbates the multiple vulnerabilities of the child. </w:t>
      </w:r>
    </w:p>
    <w:p w14:paraId="4188ECA3" w14:textId="77777777" w:rsidR="00F643E1" w:rsidRPr="00F643E1" w:rsidRDefault="00F643E1" w:rsidP="00F643E1">
      <w:pPr>
        <w:spacing w:after="0" w:line="360" w:lineRule="auto"/>
        <w:jc w:val="both"/>
        <w:rPr>
          <w:rFonts w:ascii="Times New Roman" w:hAnsi="Times New Roman" w:cs="Times New Roman"/>
          <w:lang w:val="en-IE"/>
        </w:rPr>
      </w:pPr>
    </w:p>
    <w:p w14:paraId="7B483A5F" w14:textId="77777777" w:rsidR="0051218A" w:rsidRDefault="0051218A" w:rsidP="0051218A">
      <w:pPr>
        <w:rPr>
          <w:lang w:val="en-IE"/>
        </w:rPr>
        <w:sectPr w:rsidR="0051218A" w:rsidSect="005121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5CAECB" w14:textId="77777777" w:rsidR="00471CEE" w:rsidRDefault="00471CEE" w:rsidP="00471CEE">
      <w:pPr>
        <w:rPr>
          <w:rFonts w:ascii="Times New Roman" w:hAnsi="Times New Roman" w:cs="Times New Roman"/>
          <w:b/>
          <w:color w:val="4472C4" w:themeColor="accent1"/>
          <w:lang w:val="en-GB"/>
        </w:rPr>
      </w:pPr>
      <w:r w:rsidRPr="00471CEE">
        <w:rPr>
          <w:rFonts w:ascii="Times New Roman" w:hAnsi="Times New Roman" w:cs="Times New Roman"/>
          <w:b/>
          <w:bCs/>
          <w:color w:val="4472C4" w:themeColor="accent1"/>
          <w:lang w:val="en-IE"/>
        </w:rPr>
        <w:lastRenderedPageBreak/>
        <w:t xml:space="preserve">Reference list </w:t>
      </w:r>
      <w:r w:rsidRPr="00DF7E63">
        <w:rPr>
          <w:rFonts w:ascii="Times New Roman" w:hAnsi="Times New Roman" w:cs="Times New Roman"/>
          <w:b/>
          <w:color w:val="4472C4" w:themeColor="accent1"/>
          <w:lang w:val="en-GB"/>
        </w:rPr>
        <w:t xml:space="preserve">Table </w:t>
      </w:r>
      <w:r>
        <w:rPr>
          <w:rFonts w:ascii="Times New Roman" w:hAnsi="Times New Roman" w:cs="Times New Roman"/>
          <w:b/>
          <w:color w:val="4472C4" w:themeColor="accent1"/>
          <w:lang w:val="en-GB"/>
        </w:rPr>
        <w:t>2</w:t>
      </w:r>
      <w:r w:rsidRPr="00DF7E63">
        <w:rPr>
          <w:rFonts w:ascii="Times New Roman" w:hAnsi="Times New Roman" w:cs="Times New Roman"/>
          <w:b/>
          <w:color w:val="4472C4" w:themeColor="accent1"/>
          <w:lang w:val="en-GB"/>
        </w:rPr>
        <w:t xml:space="preserve"> UN CAT, UN CEDA</w:t>
      </w:r>
      <w:r>
        <w:rPr>
          <w:rFonts w:ascii="Times New Roman" w:hAnsi="Times New Roman" w:cs="Times New Roman"/>
          <w:b/>
          <w:color w:val="4472C4" w:themeColor="accent1"/>
          <w:lang w:val="en-GB"/>
        </w:rPr>
        <w:t>W</w:t>
      </w:r>
      <w:r w:rsidRPr="00DF7E63">
        <w:rPr>
          <w:rFonts w:ascii="Times New Roman" w:hAnsi="Times New Roman" w:cs="Times New Roman"/>
          <w:b/>
          <w:color w:val="4472C4" w:themeColor="accent1"/>
          <w:lang w:val="en-GB"/>
        </w:rPr>
        <w:t xml:space="preserve">, CRC and </w:t>
      </w:r>
      <w:r>
        <w:rPr>
          <w:rFonts w:ascii="Times New Roman" w:hAnsi="Times New Roman" w:cs="Times New Roman"/>
          <w:b/>
          <w:color w:val="4472C4" w:themeColor="accent1"/>
          <w:lang w:val="en-GB"/>
        </w:rPr>
        <w:t>CCPR</w:t>
      </w:r>
      <w:r w:rsidRPr="00DF7E63">
        <w:rPr>
          <w:rFonts w:ascii="Times New Roman" w:hAnsi="Times New Roman" w:cs="Times New Roman"/>
          <w:b/>
          <w:color w:val="4472C4" w:themeColor="accent1"/>
          <w:lang w:val="en-GB"/>
        </w:rPr>
        <w:t xml:space="preserve"> Concluding Observations since 2010</w:t>
      </w:r>
      <w:r>
        <w:rPr>
          <w:rFonts w:ascii="Times New Roman" w:hAnsi="Times New Roman" w:cs="Times New Roman"/>
          <w:b/>
          <w:color w:val="4472C4" w:themeColor="accent1"/>
          <w:lang w:val="en-GB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992"/>
        <w:gridCol w:w="2693"/>
        <w:gridCol w:w="8505"/>
      </w:tblGrid>
      <w:tr w:rsidR="0051218A" w:rsidRPr="0051218A" w14:paraId="18A726AD" w14:textId="77777777" w:rsidTr="00471CEE">
        <w:tc>
          <w:tcPr>
            <w:tcW w:w="2122" w:type="dxa"/>
            <w:shd w:val="clear" w:color="auto" w:fill="8EAADB" w:themeFill="accent1" w:themeFillTint="99"/>
          </w:tcPr>
          <w:p w14:paraId="315EFA98" w14:textId="77777777" w:rsidR="0051218A" w:rsidRPr="0051218A" w:rsidRDefault="0051218A" w:rsidP="00B00F28">
            <w:pPr>
              <w:rPr>
                <w:rFonts w:ascii="Times New Roman" w:hAnsi="Times New Roman" w:cs="Times New Roman"/>
                <w:b/>
              </w:rPr>
            </w:pPr>
            <w:r w:rsidRPr="0051218A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23C05CCE" w14:textId="77777777" w:rsidR="0051218A" w:rsidRPr="0051218A" w:rsidRDefault="0051218A" w:rsidP="00B00F28">
            <w:pPr>
              <w:rPr>
                <w:rFonts w:ascii="Times New Roman" w:hAnsi="Times New Roman" w:cs="Times New Roman"/>
                <w:b/>
              </w:rPr>
            </w:pPr>
            <w:r w:rsidRPr="0051218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25B51E88" w14:textId="77777777" w:rsidR="0051218A" w:rsidRPr="0051218A" w:rsidRDefault="0051218A" w:rsidP="00B00F28">
            <w:pPr>
              <w:rPr>
                <w:rFonts w:ascii="Times New Roman" w:hAnsi="Times New Roman" w:cs="Times New Roman"/>
                <w:b/>
              </w:rPr>
            </w:pPr>
            <w:r w:rsidRPr="0051218A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8505" w:type="dxa"/>
            <w:shd w:val="clear" w:color="auto" w:fill="8EAADB" w:themeFill="accent1" w:themeFillTint="99"/>
          </w:tcPr>
          <w:p w14:paraId="30611D20" w14:textId="77777777" w:rsidR="0051218A" w:rsidRPr="0051218A" w:rsidRDefault="0051218A" w:rsidP="00B00F28">
            <w:pPr>
              <w:rPr>
                <w:rFonts w:ascii="Times New Roman" w:hAnsi="Times New Roman" w:cs="Times New Roman"/>
                <w:b/>
              </w:rPr>
            </w:pPr>
            <w:r w:rsidRPr="0051218A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51218A" w:rsidRPr="0051218A" w14:paraId="2C515A7F" w14:textId="77777777" w:rsidTr="00471CEE">
        <w:tc>
          <w:tcPr>
            <w:tcW w:w="2122" w:type="dxa"/>
          </w:tcPr>
          <w:p w14:paraId="5F836A5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Bahrain</w:t>
            </w:r>
          </w:p>
          <w:p w14:paraId="4F93DEAE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D286D5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14:paraId="058BA07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CRC/C/BHR/CO/4-6</w:t>
            </w:r>
          </w:p>
          <w:p w14:paraId="58982EF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14F11A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(2019): Concluding observations on the combined fourth to sixth periodic reports of Bahrain. Committee on the Rights of the Child (Report No. CRC/C/BHR/CO/4-6).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February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27, 2019</w:t>
            </w:r>
          </w:p>
          <w:p w14:paraId="3165E00F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0F338D0F" w14:textId="77777777" w:rsidTr="00471CEE">
        <w:tc>
          <w:tcPr>
            <w:tcW w:w="2122" w:type="dxa"/>
          </w:tcPr>
          <w:p w14:paraId="480972B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Bangladesh</w:t>
            </w:r>
            <w:proofErr w:type="spellEnd"/>
          </w:p>
          <w:p w14:paraId="2D8268E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FFA6B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30AB557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CRC/C/BGD/CO/5</w:t>
            </w:r>
          </w:p>
          <w:p w14:paraId="37FA2BF7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37580F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fifth periodic report of Bangladesh. Committee on the Rights of the Child (Report No. CRC/C/BGD/CO/5).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October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30, 2015</w:t>
            </w:r>
          </w:p>
          <w:p w14:paraId="1DE25715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28DDE5F9" w14:textId="77777777" w:rsidTr="00471CEE">
        <w:tc>
          <w:tcPr>
            <w:tcW w:w="2122" w:type="dxa"/>
          </w:tcPr>
          <w:p w14:paraId="47B7366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Belarus</w:t>
            </w:r>
          </w:p>
          <w:p w14:paraId="5AAF62A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1568EBA7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2693" w:type="dxa"/>
          </w:tcPr>
          <w:p w14:paraId="75251B9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CAT/C/BLR/CO/5</w:t>
            </w:r>
          </w:p>
          <w:p w14:paraId="2BA14DD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6634426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(2018): Concluding observations on the fifth periodic report of Belarus. Committee against Torture (Report No. CAT/C/BLR/CO/5). New York, UN, June 07, 2018</w:t>
            </w:r>
          </w:p>
          <w:p w14:paraId="7DE3D7E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478C73A3" w14:textId="77777777" w:rsidTr="00471CEE">
        <w:tc>
          <w:tcPr>
            <w:tcW w:w="2122" w:type="dxa"/>
          </w:tcPr>
          <w:p w14:paraId="63CC587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Benin</w:t>
            </w:r>
          </w:p>
          <w:p w14:paraId="316A093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EF9FB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14:paraId="42CE7C6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CEDAW/C/BEN/CO/4</w:t>
            </w:r>
          </w:p>
          <w:p w14:paraId="068673B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F125BE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(2013): Concluding observations on the fourth periodic report of Benin.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CEDAW/C/BEN/CO/4).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October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28, 2013</w:t>
            </w:r>
          </w:p>
          <w:p w14:paraId="2E5D2CCD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7E9FC0E2" w14:textId="77777777" w:rsidTr="00471CEE">
        <w:tc>
          <w:tcPr>
            <w:tcW w:w="2122" w:type="dxa"/>
          </w:tcPr>
          <w:p w14:paraId="723D12C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Bolivia</w:t>
            </w:r>
            <w:proofErr w:type="spellEnd"/>
          </w:p>
          <w:p w14:paraId="2C06189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00EAFB0F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2693" w:type="dxa"/>
          </w:tcPr>
          <w:p w14:paraId="51AE0E8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CCPR/C/BOL/CO/3</w:t>
            </w:r>
          </w:p>
          <w:p w14:paraId="1D6FD44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662F12B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International Covenant on Civil and Political Rights (2013): Concluding observations on the third periodic report of the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Plurinational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 State of Bolivia. Human Rights Committee (Report No. CCPR/C/BOL/CO/3). New York, UN, December 06, 2013</w:t>
            </w:r>
          </w:p>
          <w:p w14:paraId="36EEB4E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0381AB32" w14:textId="77777777" w:rsidTr="00471CEE">
        <w:tc>
          <w:tcPr>
            <w:tcW w:w="2122" w:type="dxa"/>
          </w:tcPr>
          <w:p w14:paraId="51B7A7A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Brazil</w:t>
            </w:r>
          </w:p>
          <w:p w14:paraId="0DA837D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73227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20FD6C7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CRC/C/BRA/CO/2-4</w:t>
            </w:r>
          </w:p>
          <w:p w14:paraId="3537178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D8D768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combined second to fourth periodic reports of Brazil. Committee on the Rights of the Child (Report No. CRC/C/BRA/CO/2-4).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October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30, 2015</w:t>
            </w:r>
          </w:p>
          <w:p w14:paraId="5708B12B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73B8383B" w14:textId="77777777" w:rsidTr="00471CEE">
        <w:tc>
          <w:tcPr>
            <w:tcW w:w="2122" w:type="dxa"/>
          </w:tcPr>
          <w:p w14:paraId="2091583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Burkina Faso</w:t>
            </w:r>
          </w:p>
          <w:p w14:paraId="02F1C83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1099B89A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2693" w:type="dxa"/>
          </w:tcPr>
          <w:p w14:paraId="744B934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CAT/C/BFA/CO/2</w:t>
            </w:r>
          </w:p>
          <w:p w14:paraId="125E2FDD" w14:textId="77777777" w:rsidR="0051218A" w:rsidRPr="0051218A" w:rsidRDefault="0051218A" w:rsidP="00B00F28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425EEAC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(2019): Concluding observations on the second periodic report of Burkina Faso. Committee against Torture (Report No. CAT/C/BFA/CO/2). New York, UN, December 18, 2019</w:t>
            </w:r>
          </w:p>
          <w:p w14:paraId="4E60D42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5834B51B" w14:textId="77777777" w:rsidTr="00471CEE">
        <w:tc>
          <w:tcPr>
            <w:tcW w:w="2122" w:type="dxa"/>
          </w:tcPr>
          <w:p w14:paraId="7D521BA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lastRenderedPageBreak/>
              <w:t>Burundi</w:t>
            </w:r>
          </w:p>
          <w:p w14:paraId="51FAD46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B3DA2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74C3BB8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CEDAW/C/BDI/CO/5-6</w:t>
            </w:r>
          </w:p>
          <w:p w14:paraId="13FD9225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1DC4B2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(2016): Concluding observations on the combined fifth and sixth periodic reports of Burundi.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CEDAW/C/BDI/CO/5-6). New York, UN, November 25, 2016</w:t>
            </w:r>
          </w:p>
          <w:p w14:paraId="7B3C6D29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1D8D11E1" w14:textId="77777777" w:rsidTr="00471CEE">
        <w:tc>
          <w:tcPr>
            <w:tcW w:w="2122" w:type="dxa"/>
          </w:tcPr>
          <w:p w14:paraId="7914BD4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Cambodia</w:t>
            </w:r>
            <w:proofErr w:type="spellEnd"/>
          </w:p>
          <w:p w14:paraId="2BAE18E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FEDE3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693" w:type="dxa"/>
          </w:tcPr>
          <w:p w14:paraId="5C9ECA1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CRC/C/KHM/CO/2-3</w:t>
            </w:r>
          </w:p>
          <w:p w14:paraId="52BB37A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7353126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(59th sess.: 2011): Consideration of reports submitted by States parties under article 44 of the Convention. Concluding observations: Cambodia. Committee on the Rights of the Child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CRC/C/KHM/CO/2-3). New York, UN, August 03, 2011</w:t>
            </w:r>
          </w:p>
          <w:p w14:paraId="54F6DD1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6CDAC8A8" w14:textId="77777777" w:rsidTr="00471CEE">
        <w:tc>
          <w:tcPr>
            <w:tcW w:w="2122" w:type="dxa"/>
          </w:tcPr>
          <w:p w14:paraId="47F399A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Cambodia</w:t>
            </w:r>
            <w:proofErr w:type="spellEnd"/>
          </w:p>
          <w:p w14:paraId="6759E53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BA86F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14:paraId="54D9208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CEDAW/C/KHM/CO/6</w:t>
            </w:r>
          </w:p>
          <w:p w14:paraId="28C1B0B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29A41B0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(2019): Concluding observations on the sixth periodic report of Cambodia.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CEDAW/C/KHM/CO/6). New York, UN, November 12, 2019</w:t>
            </w:r>
          </w:p>
          <w:p w14:paraId="17AD427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245C7446" w14:textId="77777777" w:rsidTr="00471CEE">
        <w:tc>
          <w:tcPr>
            <w:tcW w:w="2122" w:type="dxa"/>
          </w:tcPr>
          <w:p w14:paraId="2050CC8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Dominican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Rupublic</w:t>
            </w:r>
            <w:proofErr w:type="spellEnd"/>
          </w:p>
          <w:p w14:paraId="56C3BF8B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98298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1E7E582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CRC/C/DOM/CO/3-5</w:t>
            </w:r>
          </w:p>
          <w:p w14:paraId="7008421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7DBF3C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combined third to fifth periodic reports of the Dominican Republic. Committee on the Rights of the Child (Report No. CRC/C/DOM/CO/3-5). </w:t>
            </w:r>
            <w:r w:rsidRPr="0051218A">
              <w:rPr>
                <w:rFonts w:ascii="Times New Roman" w:hAnsi="Times New Roman" w:cs="Times New Roman"/>
                <w:color w:val="000000"/>
              </w:rPr>
              <w:t>New York, UN, March 06, 2015</w:t>
            </w:r>
          </w:p>
          <w:p w14:paraId="1C23CC2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4B86E510" w14:textId="77777777" w:rsidTr="00471CEE">
        <w:tc>
          <w:tcPr>
            <w:tcW w:w="2122" w:type="dxa"/>
          </w:tcPr>
          <w:p w14:paraId="09E5756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Eritrea</w:t>
            </w:r>
          </w:p>
          <w:p w14:paraId="42D6A1D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0B039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24951C2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CRC/C/ERI/CO/4</w:t>
            </w:r>
          </w:p>
          <w:p w14:paraId="0765164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C135D2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fourth periodic report of Eritrea. Committee on the Rights of the Child (Report No. CRC/C/ERI/CO/4).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02, 2015</w:t>
            </w:r>
          </w:p>
          <w:p w14:paraId="1DEA95F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57676F2C" w14:textId="77777777" w:rsidTr="00471CEE">
        <w:tc>
          <w:tcPr>
            <w:tcW w:w="2122" w:type="dxa"/>
          </w:tcPr>
          <w:p w14:paraId="110E7E9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Ethiopia</w:t>
            </w:r>
            <w:proofErr w:type="spellEnd"/>
          </w:p>
          <w:p w14:paraId="741B304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2183AA8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693" w:type="dxa"/>
          </w:tcPr>
          <w:p w14:paraId="068F2CA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CAT/C/ETH/CO/1</w:t>
            </w:r>
          </w:p>
          <w:p w14:paraId="3DB0D28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</w:tcPr>
          <w:p w14:paraId="4389EA1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against Torture and Other Cruel, Inhuman or Degrading Treatment or Punishment (45th sess.: 2011): Consideration of reports submitted by States parties under article 19 of the Convention. Concluding observations of the Committee against Torture. Ethiopia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CAT/C/ETH/CO/1).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January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20, 2011</w:t>
            </w:r>
          </w:p>
          <w:p w14:paraId="1CE6A57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18A" w:rsidRPr="0051218A" w14:paraId="5BE7B8F1" w14:textId="77777777" w:rsidTr="00471CEE">
        <w:tc>
          <w:tcPr>
            <w:tcW w:w="2122" w:type="dxa"/>
          </w:tcPr>
          <w:p w14:paraId="3620BEC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Guatemala</w:t>
            </w:r>
          </w:p>
          <w:p w14:paraId="2142CECD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045C67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</w:tcPr>
          <w:p w14:paraId="11598B4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CEDAW/C/GTM/CO/8-9</w:t>
            </w:r>
          </w:p>
          <w:p w14:paraId="3341BF1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7C4BF4E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(2017): Concluding observations on the combined eighth and ninth periodic reports of Guatemala.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CEDAW/C/GTM/CO/8-9). New York, UN, November 22, 2017</w:t>
            </w:r>
          </w:p>
          <w:p w14:paraId="08FFE45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3CBD9748" w14:textId="77777777" w:rsidTr="00471CEE">
        <w:tc>
          <w:tcPr>
            <w:tcW w:w="2122" w:type="dxa"/>
          </w:tcPr>
          <w:p w14:paraId="63AEDF7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Honduras</w:t>
            </w:r>
          </w:p>
          <w:p w14:paraId="46C1053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F124E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3F20C42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CEDAW/C/HND/CO/7-8</w:t>
            </w:r>
          </w:p>
          <w:p w14:paraId="6711BBBF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2E5C755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(2016): Concluding observations on the combined seventh and eighth periodic </w:t>
            </w: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reports of Honduras.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CEDAW/C/HND/CO/7-8). New York, UN, November 25, 2016</w:t>
            </w:r>
          </w:p>
          <w:p w14:paraId="2C0E541D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3C02F0C7" w14:textId="77777777" w:rsidTr="00471CEE">
        <w:tc>
          <w:tcPr>
            <w:tcW w:w="2122" w:type="dxa"/>
          </w:tcPr>
          <w:p w14:paraId="50616837" w14:textId="77777777" w:rsidR="0051218A" w:rsidRPr="0051218A" w:rsidRDefault="0051218A" w:rsidP="00B00F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lastRenderedPageBreak/>
              <w:t>India</w:t>
            </w:r>
          </w:p>
          <w:p w14:paraId="43E7F5A0" w14:textId="77777777" w:rsidR="0051218A" w:rsidRPr="0051218A" w:rsidRDefault="0051218A" w:rsidP="00B00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C6C75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93" w:type="dxa"/>
          </w:tcPr>
          <w:p w14:paraId="48D9B0F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CRC/C/IND/CO/3-4</w:t>
            </w:r>
          </w:p>
          <w:p w14:paraId="6265D5B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77C4578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(2014): Concluding observations on the combined third and fourth periodic reports of India. Committee on the Rights of the Child (Report No. CRC/C/IND/CO/3-4).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07, 2014</w:t>
            </w:r>
          </w:p>
          <w:p w14:paraId="425E703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218E5FBA" w14:textId="77777777" w:rsidTr="00471CEE">
        <w:tc>
          <w:tcPr>
            <w:tcW w:w="2122" w:type="dxa"/>
          </w:tcPr>
          <w:p w14:paraId="57DBC82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Iran</w:t>
            </w:r>
          </w:p>
          <w:p w14:paraId="2599588E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E70CC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68E1722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CRC/C/IRN/CO/3-4</w:t>
            </w:r>
          </w:p>
          <w:p w14:paraId="2BE414EF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803F07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(2016): Concluding observations on the combined third and fourth periodic reports of the Islamic Republic of Iran. Committee on the Rights of the Child (Report No. CRC/C/IRN/CO/3-4). </w:t>
            </w:r>
            <w:r w:rsidRPr="0051218A">
              <w:rPr>
                <w:rFonts w:ascii="Times New Roman" w:hAnsi="Times New Roman" w:cs="Times New Roman"/>
                <w:color w:val="000000"/>
              </w:rPr>
              <w:t>New York, UN, March 14, 2016</w:t>
            </w:r>
          </w:p>
          <w:p w14:paraId="7A2CBE5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749B91A1" w14:textId="77777777" w:rsidTr="00471CEE">
        <w:tc>
          <w:tcPr>
            <w:tcW w:w="2122" w:type="dxa"/>
          </w:tcPr>
          <w:p w14:paraId="6DFB39D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Iraq</w:t>
            </w:r>
          </w:p>
          <w:p w14:paraId="59E79E36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AD7009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09AFCAC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CRC/C/IRQ/CO/2-4</w:t>
            </w:r>
          </w:p>
          <w:p w14:paraId="380244E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A191B6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combined second to fourth periodic reports of Iraq. Committee on the Rights of the Child (Report No. CRC/C/IRQ/CO/2-4). </w:t>
            </w:r>
            <w:r w:rsidRPr="0051218A">
              <w:rPr>
                <w:rFonts w:ascii="Times New Roman" w:hAnsi="Times New Roman" w:cs="Times New Roman"/>
                <w:color w:val="000000"/>
              </w:rPr>
              <w:t>New York, UN, March 03, 2015</w:t>
            </w:r>
          </w:p>
          <w:p w14:paraId="403CB94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1F14523D" w14:textId="77777777" w:rsidTr="00471CEE">
        <w:tc>
          <w:tcPr>
            <w:tcW w:w="2122" w:type="dxa"/>
          </w:tcPr>
          <w:p w14:paraId="0F2ED55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Italy</w:t>
            </w:r>
            <w:proofErr w:type="spellEnd"/>
          </w:p>
          <w:p w14:paraId="12BB03D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8FCA9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693" w:type="dxa"/>
          </w:tcPr>
          <w:p w14:paraId="465AE6A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CRC/C/ITA/CO/3-4</w:t>
            </w:r>
          </w:p>
          <w:p w14:paraId="284E930B" w14:textId="77777777" w:rsidR="0051218A" w:rsidRPr="0051218A" w:rsidRDefault="0051218A" w:rsidP="00B00F2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96BDDB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(59th sess.: 2011): Consideration of reports submitted by States parties under article 44 of the Convention. Concluding observations: Italy. Committee on the Rights of the Child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CRC/C/ITA/CO/3-4).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October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31, 2011</w:t>
            </w:r>
          </w:p>
          <w:p w14:paraId="6A24C13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0CE99926" w14:textId="77777777" w:rsidTr="00471CEE">
        <w:tc>
          <w:tcPr>
            <w:tcW w:w="2122" w:type="dxa"/>
          </w:tcPr>
          <w:p w14:paraId="69A3B50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Italy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8653A6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E7DEE8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7034E04C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693" w:type="dxa"/>
          </w:tcPr>
          <w:p w14:paraId="378DBE6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CAT/C/ITA/CO/5-6</w:t>
            </w:r>
          </w:p>
          <w:p w14:paraId="53CEDD9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4218F2E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(2017): Concluding observations on the combined fifth and sixth periodic reports of Italy. Committee against Torture (Report No. CAT/C/ITA/CO/5-6). New York, UN, December 18, 2017</w:t>
            </w:r>
          </w:p>
          <w:p w14:paraId="522C69F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910C7A" w14:paraId="4300D1C1" w14:textId="77777777" w:rsidTr="00471CEE">
        <w:tc>
          <w:tcPr>
            <w:tcW w:w="2122" w:type="dxa"/>
          </w:tcPr>
          <w:p w14:paraId="78A502A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Kenya</w:t>
            </w:r>
            <w:proofErr w:type="spellEnd"/>
          </w:p>
          <w:p w14:paraId="6D645F5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3EAA8B4F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2693" w:type="dxa"/>
          </w:tcPr>
          <w:p w14:paraId="2FAF358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CAT/C/KEN/CO/2</w:t>
            </w:r>
          </w:p>
          <w:p w14:paraId="6FA5887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3C70D97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(2013): Concluding observations on the second periodic report of Kenya, adopted by the Committee at its fiftieth session (6 to 31 May 2013). Committee against Torture (Report No. CAT/C/KEN/CO/2). New York, UN, June 19, 2013</w:t>
            </w:r>
          </w:p>
          <w:p w14:paraId="5054099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5597D8A5" w14:textId="77777777" w:rsidTr="00471CEE">
        <w:tc>
          <w:tcPr>
            <w:tcW w:w="2122" w:type="dxa"/>
          </w:tcPr>
          <w:p w14:paraId="117BA22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Kenya</w:t>
            </w:r>
            <w:proofErr w:type="spellEnd"/>
          </w:p>
          <w:p w14:paraId="4F09294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818AF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5DBC2CF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CRC/C/KEN/CO/3-5</w:t>
            </w:r>
          </w:p>
          <w:p w14:paraId="1715214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20A945D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(2016): Concluding observations on the combined third to fifth periodic reports of Kenya. Committee on the Rights of the Child (Report No. CRC/C/KEN/CO/3-5). </w:t>
            </w:r>
            <w:r w:rsidRPr="0051218A">
              <w:rPr>
                <w:rFonts w:ascii="Times New Roman" w:hAnsi="Times New Roman" w:cs="Times New Roman"/>
                <w:color w:val="000000"/>
              </w:rPr>
              <w:t>New York, UN, March 21, 2016</w:t>
            </w:r>
          </w:p>
          <w:p w14:paraId="18E99F7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299392F9" w14:textId="77777777" w:rsidTr="00471CEE">
        <w:tc>
          <w:tcPr>
            <w:tcW w:w="2122" w:type="dxa"/>
          </w:tcPr>
          <w:p w14:paraId="3D5F1D2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lastRenderedPageBreak/>
              <w:t>Kyrgyzstan</w:t>
            </w:r>
            <w:proofErr w:type="spellEnd"/>
          </w:p>
          <w:p w14:paraId="04EEAB5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32F6B8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</w:tcPr>
          <w:p w14:paraId="5D3D658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CAT/C/KGZ/CO/3</w:t>
            </w:r>
          </w:p>
          <w:p w14:paraId="176D929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</w:tcPr>
          <w:p w14:paraId="619D5F7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(2021): Concluding observations on the third periodic report of Kyrgyzstan. Committee against Torture (Report No. CAT/C/KGZ/CO/3). New York, UN, December 21, 2021</w:t>
            </w:r>
          </w:p>
          <w:p w14:paraId="6D63D29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5ED4B929" w14:textId="77777777" w:rsidTr="00471CEE">
        <w:tc>
          <w:tcPr>
            <w:tcW w:w="2122" w:type="dxa"/>
          </w:tcPr>
          <w:p w14:paraId="1D7A2E4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Lesotho</w:t>
            </w:r>
          </w:p>
          <w:p w14:paraId="734F23A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16A14B" w14:textId="77777777" w:rsidR="0051218A" w:rsidRPr="0051218A" w:rsidRDefault="0051218A" w:rsidP="00B00F28">
            <w:pPr>
              <w:tabs>
                <w:tab w:val="left" w:pos="2590"/>
              </w:tabs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14:paraId="053690F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CRC/C/LSO/CO/2</w:t>
            </w:r>
          </w:p>
          <w:p w14:paraId="19632719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BDFB0B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(2018): Concluding observations on the second periodic report of Lesotho. Committee on the Rights of the Child (Report No. CRC/C/LSO/CO/2). </w:t>
            </w:r>
            <w:r w:rsidRPr="0051218A">
              <w:rPr>
                <w:rFonts w:ascii="Times New Roman" w:hAnsi="Times New Roman" w:cs="Times New Roman"/>
                <w:color w:val="000000"/>
              </w:rPr>
              <w:t>New York, UN, June 28, 2018</w:t>
            </w:r>
          </w:p>
          <w:p w14:paraId="1F8C278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772AA90F" w14:textId="77777777" w:rsidTr="00471CEE">
        <w:tc>
          <w:tcPr>
            <w:tcW w:w="2122" w:type="dxa"/>
          </w:tcPr>
          <w:p w14:paraId="21D03B4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Mali</w:t>
            </w:r>
          </w:p>
          <w:p w14:paraId="4C7FD7E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8ABE7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68B8C2C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CEDAW/C/MLI/CO/6-7</w:t>
            </w:r>
          </w:p>
          <w:p w14:paraId="1314277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73A4F9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(2016): Concluding observations on the combined sixth and seventh periodic reports of Mali.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CEDAW/C/MLI/CO/6-7).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25, 2016</w:t>
            </w:r>
          </w:p>
          <w:p w14:paraId="630CA53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12179F13" w14:textId="77777777" w:rsidTr="00471CEE">
        <w:tc>
          <w:tcPr>
            <w:tcW w:w="2122" w:type="dxa"/>
          </w:tcPr>
          <w:p w14:paraId="3AA4973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Mauritius</w:t>
            </w:r>
          </w:p>
          <w:p w14:paraId="574AE37D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061490" w14:textId="77777777" w:rsidR="0051218A" w:rsidRPr="0051218A" w:rsidRDefault="0051218A" w:rsidP="00B00F28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574FD69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CRC/C/MUS/CO/3-5</w:t>
            </w:r>
          </w:p>
          <w:p w14:paraId="2CE7551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1B71F3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combined third to fifth periodic reports of Mauritius. Committee on the Rights of the Child (Report No. CRC/C/MUS/CO/3-5).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February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27, 2015</w:t>
            </w:r>
          </w:p>
          <w:p w14:paraId="2935DAC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00169938" w14:textId="77777777" w:rsidTr="00471CEE">
        <w:tc>
          <w:tcPr>
            <w:tcW w:w="2122" w:type="dxa"/>
          </w:tcPr>
          <w:p w14:paraId="2F3E630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Mexiko</w:t>
            </w:r>
          </w:p>
          <w:p w14:paraId="07692C0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CADC6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4975A59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CRC/C/MEX/CO/4-5</w:t>
            </w:r>
          </w:p>
          <w:p w14:paraId="415F8E9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9ED274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combined fourth and fifth periodic reports of Mexico. Committee on the Rights of the Child (Report No. CRC/C/MEX/CO/4-5).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03, 2015</w:t>
            </w:r>
          </w:p>
          <w:p w14:paraId="6A09412F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14B8BBF7" w14:textId="77777777" w:rsidTr="00471CEE">
        <w:tc>
          <w:tcPr>
            <w:tcW w:w="2122" w:type="dxa"/>
          </w:tcPr>
          <w:p w14:paraId="7E00B77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Mexico</w:t>
            </w:r>
          </w:p>
          <w:p w14:paraId="7C8AF39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9B01204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2693" w:type="dxa"/>
          </w:tcPr>
          <w:p w14:paraId="72B010C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CCPR/C/MEX/CO/6</w:t>
            </w:r>
          </w:p>
          <w:p w14:paraId="6780565E" w14:textId="77777777" w:rsidR="0051218A" w:rsidRPr="0051218A" w:rsidRDefault="0051218A" w:rsidP="00B00F28">
            <w:pPr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</w:tcPr>
          <w:p w14:paraId="417E374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International Covenant on Civil and Political Rights (2019): Concluding observations on the sixth periodic report of Mexico. Human Rights Committee (Report No. CCPR/C/MEX/CO/6). New York, UN, December 04, 2019</w:t>
            </w:r>
          </w:p>
          <w:p w14:paraId="221B848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25226B5F" w14:textId="77777777" w:rsidTr="00471CEE">
        <w:tc>
          <w:tcPr>
            <w:tcW w:w="2122" w:type="dxa"/>
          </w:tcPr>
          <w:p w14:paraId="0E0FA2B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Moldova</w:t>
            </w:r>
            <w:proofErr w:type="spellEnd"/>
          </w:p>
          <w:p w14:paraId="08E0F70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70BCA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</w:tcPr>
          <w:p w14:paraId="3501291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CRC/C/MDA/CO/4-5</w:t>
            </w:r>
          </w:p>
          <w:p w14:paraId="0892C8A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227777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(2017): Concluding observations on the combined fourth and fifth periodic reports of the Republic of Moldova. Committee on the Rights of the Child (Report No. CRC/C/MDA/CO/4-5).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October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20, 2017</w:t>
            </w:r>
          </w:p>
          <w:p w14:paraId="3F1F0C2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38EC1B2C" w14:textId="77777777" w:rsidTr="00471CEE">
        <w:tc>
          <w:tcPr>
            <w:tcW w:w="2122" w:type="dxa"/>
          </w:tcPr>
          <w:p w14:paraId="347DEA4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Mozambique</w:t>
            </w:r>
          </w:p>
          <w:p w14:paraId="5D90E28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4E6AB9" w14:textId="77777777" w:rsidR="0051218A" w:rsidRPr="0051218A" w:rsidRDefault="0051218A" w:rsidP="00B00F28">
            <w:pPr>
              <w:tabs>
                <w:tab w:val="left" w:pos="710"/>
              </w:tabs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14:paraId="4D60F85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CEDAW/C/MOZ/CO/3-5</w:t>
            </w:r>
          </w:p>
          <w:p w14:paraId="1C24509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3833832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(2019): Concluding observations on the combined third to fifth periodic reports of Mozambique.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CEDAW/C/MOZ/CO/3-5).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30, 2019</w:t>
            </w:r>
          </w:p>
          <w:p w14:paraId="2B3C072D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5BBA309D" w14:textId="77777777" w:rsidTr="00471CEE">
        <w:tc>
          <w:tcPr>
            <w:tcW w:w="2122" w:type="dxa"/>
          </w:tcPr>
          <w:p w14:paraId="54DB27F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lastRenderedPageBreak/>
              <w:t>Myanmar</w:t>
            </w:r>
          </w:p>
          <w:p w14:paraId="76985B4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F1E5D7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93" w:type="dxa"/>
          </w:tcPr>
          <w:p w14:paraId="540B547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CRC/C/MMR/CO/3-4</w:t>
            </w:r>
          </w:p>
          <w:p w14:paraId="51B4B15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C03914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(59th sess.: 2012): Consideration of reports submitted by States parties under article 44 of the Convention. Concluding observations: Myanmar. Committee on the Rights of the Child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CRC/C/MMR/CO/3-4). New York, UN, March 14, 2012</w:t>
            </w:r>
          </w:p>
          <w:p w14:paraId="4FE9E9C6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5800E68C" w14:textId="77777777" w:rsidTr="00471CEE">
        <w:tc>
          <w:tcPr>
            <w:tcW w:w="2122" w:type="dxa"/>
          </w:tcPr>
          <w:p w14:paraId="10E7CF2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Nigeria</w:t>
            </w:r>
          </w:p>
          <w:p w14:paraId="2802D60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0FD96944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2693" w:type="dxa"/>
          </w:tcPr>
          <w:p w14:paraId="22A81B5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CAT/C/NGA/COAR/1</w:t>
            </w:r>
          </w:p>
          <w:p w14:paraId="262C9C16" w14:textId="77777777" w:rsidR="0051218A" w:rsidRPr="0051218A" w:rsidRDefault="0051218A" w:rsidP="00B00F28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186CD18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(2021): Concluding observations in the absence of the initial report of Nigeria. Committee against Torture (Report No. CAT/C/NGA/COAR/1). New York, UN, December 21, 2021</w:t>
            </w:r>
          </w:p>
          <w:p w14:paraId="21AF2A9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910C7A" w14:paraId="6C697673" w14:textId="77777777" w:rsidTr="00471CEE">
        <w:tc>
          <w:tcPr>
            <w:tcW w:w="2122" w:type="dxa"/>
          </w:tcPr>
          <w:p w14:paraId="35997BF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Panama</w:t>
            </w:r>
          </w:p>
          <w:p w14:paraId="5C34F31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765F9791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693" w:type="dxa"/>
          </w:tcPr>
          <w:p w14:paraId="4C46956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CAT/C/PAN/CO/4</w:t>
            </w:r>
          </w:p>
          <w:p w14:paraId="4ADF6B4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7822BC0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(2017): Concluding observations on the fourth periodic report of Panama. Committee against Torture (Report No. CAT/C/PAN/CO/4). New York, UN, August 28, 2017</w:t>
            </w:r>
          </w:p>
          <w:p w14:paraId="679579A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53C0E3BF" w14:textId="77777777" w:rsidTr="00471CEE">
        <w:tc>
          <w:tcPr>
            <w:tcW w:w="2122" w:type="dxa"/>
          </w:tcPr>
          <w:p w14:paraId="24F2181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Paraguay</w:t>
            </w:r>
          </w:p>
          <w:p w14:paraId="7693A73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1983AA6D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693" w:type="dxa"/>
          </w:tcPr>
          <w:p w14:paraId="6B2DD45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CAT/C/PRY/CO/4-6</w:t>
            </w:r>
          </w:p>
          <w:p w14:paraId="5838D98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17FE506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against Torture and Other Cruel, Inhuman or Degrading Treatment or Punishment (47th sess.: 2011): Consideration of reports submitted by States parties under article 19 of the Convention. Concluding observations of the Committee against Torture. Paraguay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CAT/C/PRY/CO/4-6).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December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14, 2011</w:t>
            </w:r>
          </w:p>
          <w:p w14:paraId="125EA3DC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910C7A" w14:paraId="1F603ECE" w14:textId="77777777" w:rsidTr="00471CEE">
        <w:tc>
          <w:tcPr>
            <w:tcW w:w="2122" w:type="dxa"/>
          </w:tcPr>
          <w:p w14:paraId="29EDF26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Peru</w:t>
            </w:r>
          </w:p>
          <w:p w14:paraId="28790EF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4740FB3E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2693" w:type="dxa"/>
          </w:tcPr>
          <w:p w14:paraId="22F3529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CAT/C/PER/CO/7</w:t>
            </w:r>
          </w:p>
          <w:p w14:paraId="6BB529B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200F86F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>United Nations Convention against Torture and Other Cruel, Inhuman or Degrading Treatment or Punishment (2018): Concluding observations on the seventh periodic report of Peru. Committee against Torture (Report No. CAT/C/PER/CO/7). New York, UN, December 18, 2018</w:t>
            </w:r>
          </w:p>
          <w:p w14:paraId="0EBA627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3F8C0333" w14:textId="77777777" w:rsidTr="00471CEE">
        <w:tc>
          <w:tcPr>
            <w:tcW w:w="2122" w:type="dxa"/>
          </w:tcPr>
          <w:p w14:paraId="4A563AE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Qatar</w:t>
            </w:r>
          </w:p>
          <w:p w14:paraId="691F8AF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23CD2B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14:paraId="4A82F2D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CEDAW/C/QAT/CO/2</w:t>
            </w:r>
          </w:p>
          <w:p w14:paraId="1CAB04A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7DDB59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(2019): Concluding observations on the second periodic report of Qatar.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CEDAW/C/QAT/CO/2).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30, 2019</w:t>
            </w:r>
          </w:p>
        </w:tc>
      </w:tr>
      <w:tr w:rsidR="0051218A" w:rsidRPr="0051218A" w14:paraId="1733164A" w14:textId="77777777" w:rsidTr="00471CEE">
        <w:tc>
          <w:tcPr>
            <w:tcW w:w="2122" w:type="dxa"/>
          </w:tcPr>
          <w:p w14:paraId="79638ED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Russian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Federation</w:t>
            </w:r>
            <w:proofErr w:type="spellEnd"/>
          </w:p>
          <w:p w14:paraId="7B6BF41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7F3D4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93" w:type="dxa"/>
          </w:tcPr>
          <w:p w14:paraId="675E34B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CRC/C/RUS/CO/4-5</w:t>
            </w:r>
          </w:p>
          <w:p w14:paraId="241A2B2D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AF7222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(2014): Concluding observations on the combined fourth and fifth periodic reports of the Russian Federation. Committee on the Rights of the Child (Report No. CRC/C/RUS/CO/4-5).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February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25, 2014</w:t>
            </w:r>
          </w:p>
          <w:p w14:paraId="15E5427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910C7A" w14:paraId="10D534B1" w14:textId="77777777" w:rsidTr="00471CEE">
        <w:tc>
          <w:tcPr>
            <w:tcW w:w="2122" w:type="dxa"/>
          </w:tcPr>
          <w:p w14:paraId="1DEAC69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Russian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Federation</w:t>
            </w:r>
            <w:proofErr w:type="spellEnd"/>
          </w:p>
          <w:p w14:paraId="52D0463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1B21DBBC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2693" w:type="dxa"/>
          </w:tcPr>
          <w:p w14:paraId="7CF7808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CAT/C/RUS/CO/6</w:t>
            </w:r>
          </w:p>
          <w:p w14:paraId="3E0AB4F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3BCCBC7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against Torture and Other Cruel, Inhuman or Degrading Treatment or Punishment (2018): Concluding observations on the sixth periodic report of the </w:t>
            </w: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Russian Federation. Committee against Torture (Report No. CAT/C/RUS/CO/6). New York, UN, August 28, 2018</w:t>
            </w:r>
          </w:p>
          <w:p w14:paraId="3868356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11874AD1" w14:textId="77777777" w:rsidTr="00471CEE">
        <w:tc>
          <w:tcPr>
            <w:tcW w:w="2122" w:type="dxa"/>
          </w:tcPr>
          <w:p w14:paraId="5E532B56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lastRenderedPageBreak/>
              <w:t>Rwanda</w:t>
            </w:r>
          </w:p>
          <w:p w14:paraId="37B2758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454B754" w14:textId="77777777" w:rsidR="0051218A" w:rsidRPr="0051218A" w:rsidRDefault="0051218A" w:rsidP="00B00F28">
            <w:pPr>
              <w:rPr>
                <w:rFonts w:ascii="Times New Roman" w:hAnsi="Times New Roman" w:cs="Times New Roman"/>
                <w:lang w:val="en-US"/>
              </w:rPr>
            </w:pPr>
            <w:r w:rsidRPr="0051218A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2693" w:type="dxa"/>
          </w:tcPr>
          <w:p w14:paraId="5109FD3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CAT/C/RWA/CO/1</w:t>
            </w:r>
          </w:p>
          <w:p w14:paraId="0742F4F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5" w:type="dxa"/>
          </w:tcPr>
          <w:p w14:paraId="2EBBF84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against Torture and Other Cruel, Inhuman or Degrading Treatment or Punishment (48th sess.: 2012): Consideration of reports submitted by States parties under article 19 of the Convention. Concluding observations of the Committee against Torture. Rwanda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CAT/C/RWA/CO/1). New York, UN, June 26, 2012</w:t>
            </w:r>
          </w:p>
          <w:p w14:paraId="7C317CA2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218A" w:rsidRPr="0051218A" w14:paraId="073CBF65" w14:textId="77777777" w:rsidTr="00471CEE">
        <w:tc>
          <w:tcPr>
            <w:tcW w:w="2122" w:type="dxa"/>
          </w:tcPr>
          <w:p w14:paraId="0E4DE01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Samoa</w:t>
            </w:r>
          </w:p>
          <w:p w14:paraId="5C9978C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BABE77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452984B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CRC/C/WSM/CO/2-4</w:t>
            </w:r>
          </w:p>
          <w:p w14:paraId="64D638A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947368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(2016): Concluding observations on the combined second to fourth periodic reports of Samoa. Committee on the Rights of the Child (Report No. CRC/C/WSM/CO/2-4).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12, 2016</w:t>
            </w:r>
          </w:p>
          <w:p w14:paraId="0C03C22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7C7FCE15" w14:textId="77777777" w:rsidTr="00471CEE">
        <w:tc>
          <w:tcPr>
            <w:tcW w:w="2122" w:type="dxa"/>
          </w:tcPr>
          <w:p w14:paraId="40873C0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South Sudan</w:t>
            </w:r>
          </w:p>
          <w:p w14:paraId="1F16336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BDE67B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</w:tcPr>
          <w:p w14:paraId="5D3FD92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CEDAW/C/SSD/CO/1</w:t>
            </w:r>
          </w:p>
          <w:p w14:paraId="757A3FD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DEF644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(2021): Concluding observations on the initial report of South Sudan.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CEDAW/C/SSD/CO/1). New York, UN, November 23, 2021</w:t>
            </w:r>
          </w:p>
          <w:p w14:paraId="13E6135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05767F58" w14:textId="77777777" w:rsidTr="00471CEE">
        <w:tc>
          <w:tcPr>
            <w:tcW w:w="2122" w:type="dxa"/>
          </w:tcPr>
          <w:p w14:paraId="4E11FCA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Switzerland</w:t>
            </w:r>
            <w:proofErr w:type="spellEnd"/>
          </w:p>
          <w:p w14:paraId="23168AC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D6D4A7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76A8D4C5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CRC/C/CHE/CO/2-4</w:t>
            </w:r>
          </w:p>
          <w:p w14:paraId="45F77C0F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25F13E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combined second to fourth periodic reports of Switzerland. Committee on the Rights of the Child (Report No. CRC/C/CHE/CO/2-4).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February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26, 2015</w:t>
            </w:r>
          </w:p>
          <w:p w14:paraId="548B778F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69762AC3" w14:textId="77777777" w:rsidTr="00471CEE">
        <w:tc>
          <w:tcPr>
            <w:tcW w:w="2122" w:type="dxa"/>
          </w:tcPr>
          <w:p w14:paraId="2E00170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Thailand</w:t>
            </w:r>
          </w:p>
          <w:p w14:paraId="547F588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73303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93" w:type="dxa"/>
          </w:tcPr>
          <w:p w14:paraId="420DA8A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CRC/C/THA/CO/3-4</w:t>
            </w:r>
          </w:p>
          <w:p w14:paraId="210B5C5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BE166D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(59th sess.: 2012): Consideration of reports submitted by States parties under article 44 of the Convention. Concluding observations: Thailand. Committee on the Rights of the Child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CRC/C/THA/CO/3-4).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February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17, 2012</w:t>
            </w:r>
          </w:p>
          <w:p w14:paraId="21342B8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715E266F" w14:textId="77777777" w:rsidTr="00471CEE">
        <w:tc>
          <w:tcPr>
            <w:tcW w:w="2122" w:type="dxa"/>
          </w:tcPr>
          <w:p w14:paraId="7553637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Thailand</w:t>
            </w:r>
          </w:p>
          <w:p w14:paraId="1B1AAF6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C7FC06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</w:tcPr>
          <w:p w14:paraId="381C6AD1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CEDAW/C/THA/CO/6-7</w:t>
            </w:r>
          </w:p>
          <w:p w14:paraId="353A9856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23F2EED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(2017): Concluding observations on the combined sixth and seventh periodic reports of Thailand.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CEDAW/C/THA/CO/6-7).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24, 2017</w:t>
            </w:r>
          </w:p>
          <w:p w14:paraId="39C26309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260D9240" w14:textId="77777777" w:rsidTr="00471CEE">
        <w:tc>
          <w:tcPr>
            <w:tcW w:w="2122" w:type="dxa"/>
          </w:tcPr>
          <w:p w14:paraId="43F56C2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Tonga</w:t>
            </w:r>
          </w:p>
          <w:p w14:paraId="3944044B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657416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14:paraId="2C23245E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CRC/C/TON/CO/1</w:t>
            </w:r>
          </w:p>
          <w:p w14:paraId="5B3702B7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870004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(2019): Concluding observations on the initial report of Tonga. Committee on the Rights of the Child (Report No. CRC/C/TON/CO/1).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02, 2019</w:t>
            </w:r>
          </w:p>
          <w:p w14:paraId="2BC7AB9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584BBF1C" w14:textId="77777777" w:rsidTr="00471CEE">
        <w:tc>
          <w:tcPr>
            <w:tcW w:w="2122" w:type="dxa"/>
          </w:tcPr>
          <w:p w14:paraId="71B05A0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lastRenderedPageBreak/>
              <w:t xml:space="preserve">United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Arab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Emirates</w:t>
            </w:r>
          </w:p>
          <w:p w14:paraId="157B4C10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21C33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484B518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CRC/C/ARE/CO/2</w:t>
            </w:r>
          </w:p>
          <w:p w14:paraId="0C8275A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3E7DBC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second periodic report of the United Arab Emirates. Committee on the Rights of the Child (Report No. CRC/C/ARE/CO/2).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October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30, 2015</w:t>
            </w:r>
          </w:p>
          <w:p w14:paraId="70E690BE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1A769902" w14:textId="77777777" w:rsidTr="00471CEE">
        <w:tc>
          <w:tcPr>
            <w:tcW w:w="2122" w:type="dxa"/>
          </w:tcPr>
          <w:p w14:paraId="6CEF793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Uruguay</w:t>
            </w:r>
          </w:p>
          <w:p w14:paraId="3A09862D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6D2E8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14:paraId="699E19F9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CRC/C/URY/CO/3-5</w:t>
            </w:r>
          </w:p>
          <w:p w14:paraId="7157631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40821A7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(2015): Concluding observations on the combined third to fifth periodic reports of Uruguay. Committee on the Rights of the Child (Report No. CRC/C/URY/CO/3-5). </w:t>
            </w:r>
            <w:r w:rsidRPr="0051218A">
              <w:rPr>
                <w:rFonts w:ascii="Times New Roman" w:hAnsi="Times New Roman" w:cs="Times New Roman"/>
                <w:color w:val="000000"/>
              </w:rPr>
              <w:t>New York, UN, March 05, 2015</w:t>
            </w:r>
          </w:p>
          <w:p w14:paraId="5A3E1348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176232FE" w14:textId="77777777" w:rsidTr="00471CEE">
        <w:tc>
          <w:tcPr>
            <w:tcW w:w="2122" w:type="dxa"/>
          </w:tcPr>
          <w:p w14:paraId="52D8B220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Uruguay</w:t>
            </w:r>
          </w:p>
          <w:p w14:paraId="5E364BA4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00C07F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0BE5B3E3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CEDAW/C/URY/CO/8-9</w:t>
            </w:r>
          </w:p>
          <w:p w14:paraId="0632C696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64F92808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(2016): Concluding observations on the combined eighth and ninth periodic reports of Uruguay.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 xml:space="preserve">CEDAW/C/URY/CO/8-9). New York, UN, </w:t>
            </w: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July</w:t>
            </w:r>
            <w:proofErr w:type="spellEnd"/>
            <w:r w:rsidRPr="0051218A">
              <w:rPr>
                <w:rFonts w:ascii="Times New Roman" w:hAnsi="Times New Roman" w:cs="Times New Roman"/>
                <w:color w:val="000000"/>
              </w:rPr>
              <w:t xml:space="preserve"> 25, 2016</w:t>
            </w:r>
          </w:p>
          <w:p w14:paraId="458195F2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35306F4E" w14:textId="77777777" w:rsidTr="00471CEE">
        <w:tc>
          <w:tcPr>
            <w:tcW w:w="2122" w:type="dxa"/>
          </w:tcPr>
          <w:p w14:paraId="2D4AF817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218A">
              <w:rPr>
                <w:rFonts w:ascii="Times New Roman" w:hAnsi="Times New Roman" w:cs="Times New Roman"/>
                <w:color w:val="000000"/>
              </w:rPr>
              <w:t>Yemen</w:t>
            </w:r>
            <w:proofErr w:type="spellEnd"/>
          </w:p>
          <w:p w14:paraId="301C5E93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650D89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</w:tcPr>
          <w:p w14:paraId="7EC51C5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CEDAW/C/YEM/CO/7-8</w:t>
            </w:r>
          </w:p>
          <w:p w14:paraId="6ADCC15E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31F320EB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(2021): Concluding observations on the combined seventh and eighth periodic reports of Yemen.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CEDAW/C/YEM/CO/7-8). New York, UN, November 24, 2021</w:t>
            </w:r>
          </w:p>
          <w:p w14:paraId="5742B541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05B9C4F5" w14:textId="77777777" w:rsidTr="00471CEE">
        <w:tc>
          <w:tcPr>
            <w:tcW w:w="2122" w:type="dxa"/>
          </w:tcPr>
          <w:p w14:paraId="1E2AE45F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Zimbabwe</w:t>
            </w:r>
          </w:p>
          <w:p w14:paraId="6E87CC9A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C123B5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3" w:type="dxa"/>
          </w:tcPr>
          <w:p w14:paraId="0E83C906" w14:textId="77777777" w:rsidR="0051218A" w:rsidRPr="0051218A" w:rsidRDefault="0051218A" w:rsidP="00B00F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CRC/C/ZWE/CO/2</w:t>
            </w:r>
          </w:p>
          <w:p w14:paraId="70C39EBA" w14:textId="77777777" w:rsidR="0051218A" w:rsidRPr="0051218A" w:rsidRDefault="0051218A" w:rsidP="00B00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1BAD449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Rights of the Child (2016): Concluding observations on the second periodic report of Zimbabwe. Committee on the Rights of the Child (Report No. CRC/C/ZWE/CO/2). </w:t>
            </w:r>
            <w:r w:rsidRPr="0051218A">
              <w:rPr>
                <w:rFonts w:ascii="Times New Roman" w:hAnsi="Times New Roman" w:cs="Times New Roman"/>
                <w:color w:val="000000"/>
              </w:rPr>
              <w:t>New York, UN, March 07, 2016</w:t>
            </w:r>
          </w:p>
          <w:p w14:paraId="612C90BE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  <w:tr w:rsidR="0051218A" w:rsidRPr="0051218A" w14:paraId="5EC47792" w14:textId="77777777" w:rsidTr="00471CEE">
        <w:tc>
          <w:tcPr>
            <w:tcW w:w="2122" w:type="dxa"/>
          </w:tcPr>
          <w:p w14:paraId="42C5AF1D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Zimbabwe</w:t>
            </w:r>
          </w:p>
          <w:p w14:paraId="34DBC9A5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D39E2C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  <w:r w:rsidRPr="005121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</w:tcPr>
          <w:p w14:paraId="4767F904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</w:rPr>
              <w:t>CEDAW/C/ZWE/CO/6</w:t>
            </w:r>
          </w:p>
          <w:p w14:paraId="7AC8F22E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14:paraId="09FFC5DA" w14:textId="77777777" w:rsidR="0051218A" w:rsidRPr="0051218A" w:rsidRDefault="0051218A" w:rsidP="00B00F28">
            <w:pPr>
              <w:rPr>
                <w:rFonts w:ascii="Times New Roman" w:hAnsi="Times New Roman" w:cs="Times New Roman"/>
                <w:color w:val="000000"/>
              </w:rPr>
            </w:pPr>
            <w:r w:rsidRPr="0051218A">
              <w:rPr>
                <w:rFonts w:ascii="Times New Roman" w:hAnsi="Times New Roman" w:cs="Times New Roman"/>
                <w:color w:val="000000"/>
                <w:lang w:val="en-US"/>
              </w:rPr>
              <w:t xml:space="preserve">United Nations Convention on the Elimination of All Forms of Discrimination against Women (2020): Concluding observations on the sixth periodic report of Zimbabwe. Committee on the Elimination of Discrimination against Women (Report No. </w:t>
            </w:r>
            <w:r w:rsidRPr="0051218A">
              <w:rPr>
                <w:rFonts w:ascii="Times New Roman" w:hAnsi="Times New Roman" w:cs="Times New Roman"/>
                <w:color w:val="000000"/>
              </w:rPr>
              <w:t>CEDAW/C/ZWE/CO/6). New York, UN, March 10, 2020</w:t>
            </w:r>
          </w:p>
          <w:p w14:paraId="3455E87B" w14:textId="77777777" w:rsidR="0051218A" w:rsidRPr="0051218A" w:rsidRDefault="0051218A" w:rsidP="00B00F28">
            <w:pPr>
              <w:rPr>
                <w:rFonts w:ascii="Times New Roman" w:hAnsi="Times New Roman" w:cs="Times New Roman"/>
              </w:rPr>
            </w:pPr>
          </w:p>
        </w:tc>
      </w:tr>
    </w:tbl>
    <w:p w14:paraId="322C016B" w14:textId="77777777" w:rsidR="0051218A" w:rsidRPr="0051218A" w:rsidRDefault="0051218A" w:rsidP="0051218A">
      <w:pPr>
        <w:rPr>
          <w:rFonts w:ascii="Times New Roman" w:hAnsi="Times New Roman" w:cs="Times New Roman"/>
          <w:lang w:val="en-US"/>
        </w:rPr>
      </w:pPr>
    </w:p>
    <w:p w14:paraId="4CB40635" w14:textId="77777777" w:rsidR="0051218A" w:rsidRPr="0051218A" w:rsidRDefault="0051218A" w:rsidP="0051218A">
      <w:pPr>
        <w:rPr>
          <w:rFonts w:ascii="Times New Roman" w:hAnsi="Times New Roman" w:cs="Times New Roman"/>
        </w:rPr>
      </w:pPr>
    </w:p>
    <w:sectPr w:rsidR="0051218A" w:rsidRPr="0051218A" w:rsidSect="005121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02D8" w14:textId="77777777" w:rsidR="00DC1365" w:rsidRDefault="00DC1365" w:rsidP="00CC57CB">
      <w:pPr>
        <w:spacing w:after="0" w:line="240" w:lineRule="auto"/>
      </w:pPr>
      <w:r>
        <w:separator/>
      </w:r>
    </w:p>
  </w:endnote>
  <w:endnote w:type="continuationSeparator" w:id="0">
    <w:p w14:paraId="6608EB84" w14:textId="77777777" w:rsidR="00DC1365" w:rsidRDefault="00DC1365" w:rsidP="00C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90A4" w14:textId="77777777" w:rsidR="00CC57CB" w:rsidRDefault="00CC5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CD00" w14:textId="77777777" w:rsidR="00CC57CB" w:rsidRDefault="00CC5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7234" w14:textId="77777777" w:rsidR="00CC57CB" w:rsidRDefault="00CC5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BAD3" w14:textId="77777777" w:rsidR="00DC1365" w:rsidRDefault="00DC1365" w:rsidP="00CC57CB">
      <w:pPr>
        <w:spacing w:after="0" w:line="240" w:lineRule="auto"/>
      </w:pPr>
      <w:r>
        <w:separator/>
      </w:r>
    </w:p>
  </w:footnote>
  <w:footnote w:type="continuationSeparator" w:id="0">
    <w:p w14:paraId="0D4D524A" w14:textId="77777777" w:rsidR="00DC1365" w:rsidRDefault="00DC1365" w:rsidP="00C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576F" w14:textId="77777777" w:rsidR="00CC57CB" w:rsidRDefault="00CC5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FE5" w14:textId="77777777" w:rsidR="00CC57CB" w:rsidRDefault="00CC5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9385" w14:textId="77777777" w:rsidR="00CC57CB" w:rsidRDefault="00CC5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NTK1NLG0sLQwNTRQ0lEKTi0uzszPAykwrgUAkMYl/CwAAAA="/>
  </w:docVars>
  <w:rsids>
    <w:rsidRoot w:val="006408B8"/>
    <w:rsid w:val="00022FE5"/>
    <w:rsid w:val="000246E6"/>
    <w:rsid w:val="00032749"/>
    <w:rsid w:val="00035176"/>
    <w:rsid w:val="0006399E"/>
    <w:rsid w:val="00064A03"/>
    <w:rsid w:val="000D1B0B"/>
    <w:rsid w:val="00193CCF"/>
    <w:rsid w:val="001A73A1"/>
    <w:rsid w:val="00204683"/>
    <w:rsid w:val="00214093"/>
    <w:rsid w:val="002579E1"/>
    <w:rsid w:val="002A4954"/>
    <w:rsid w:val="002D5A0F"/>
    <w:rsid w:val="003014ED"/>
    <w:rsid w:val="00312388"/>
    <w:rsid w:val="00333DF8"/>
    <w:rsid w:val="003439FC"/>
    <w:rsid w:val="00382139"/>
    <w:rsid w:val="003A4A0C"/>
    <w:rsid w:val="003B6BDC"/>
    <w:rsid w:val="003C126E"/>
    <w:rsid w:val="003D2D33"/>
    <w:rsid w:val="003F55C2"/>
    <w:rsid w:val="003F5D9E"/>
    <w:rsid w:val="00430473"/>
    <w:rsid w:val="004520B9"/>
    <w:rsid w:val="00465FDC"/>
    <w:rsid w:val="00471CEE"/>
    <w:rsid w:val="0047390E"/>
    <w:rsid w:val="00475E3F"/>
    <w:rsid w:val="004B0207"/>
    <w:rsid w:val="004E70FB"/>
    <w:rsid w:val="0051218A"/>
    <w:rsid w:val="005147D8"/>
    <w:rsid w:val="00520ED3"/>
    <w:rsid w:val="00546479"/>
    <w:rsid w:val="005465F5"/>
    <w:rsid w:val="00546BA4"/>
    <w:rsid w:val="00584906"/>
    <w:rsid w:val="005B6988"/>
    <w:rsid w:val="00602DBF"/>
    <w:rsid w:val="006408B8"/>
    <w:rsid w:val="00655A27"/>
    <w:rsid w:val="00696AE5"/>
    <w:rsid w:val="006A04D1"/>
    <w:rsid w:val="006F631F"/>
    <w:rsid w:val="00783F72"/>
    <w:rsid w:val="008007CC"/>
    <w:rsid w:val="00812767"/>
    <w:rsid w:val="00841761"/>
    <w:rsid w:val="008431D0"/>
    <w:rsid w:val="008572A7"/>
    <w:rsid w:val="00893C67"/>
    <w:rsid w:val="008A3C3B"/>
    <w:rsid w:val="008D1FCC"/>
    <w:rsid w:val="0090167E"/>
    <w:rsid w:val="00910C7A"/>
    <w:rsid w:val="00930BCF"/>
    <w:rsid w:val="009D0DE4"/>
    <w:rsid w:val="00A05561"/>
    <w:rsid w:val="00A149E2"/>
    <w:rsid w:val="00A22CD4"/>
    <w:rsid w:val="00A7013F"/>
    <w:rsid w:val="00AD1341"/>
    <w:rsid w:val="00AE7ABC"/>
    <w:rsid w:val="00B035A3"/>
    <w:rsid w:val="00B06949"/>
    <w:rsid w:val="00B23B0B"/>
    <w:rsid w:val="00B26CCF"/>
    <w:rsid w:val="00B27708"/>
    <w:rsid w:val="00BA65EA"/>
    <w:rsid w:val="00BA7E7D"/>
    <w:rsid w:val="00BB60B1"/>
    <w:rsid w:val="00BC476B"/>
    <w:rsid w:val="00C0373D"/>
    <w:rsid w:val="00C20963"/>
    <w:rsid w:val="00C31AC6"/>
    <w:rsid w:val="00C8297E"/>
    <w:rsid w:val="00CB3A09"/>
    <w:rsid w:val="00CC57CB"/>
    <w:rsid w:val="00CF3947"/>
    <w:rsid w:val="00CF6385"/>
    <w:rsid w:val="00D52637"/>
    <w:rsid w:val="00D640AF"/>
    <w:rsid w:val="00DC1365"/>
    <w:rsid w:val="00DD1813"/>
    <w:rsid w:val="00DD4F5F"/>
    <w:rsid w:val="00E32113"/>
    <w:rsid w:val="00E46992"/>
    <w:rsid w:val="00E47BE3"/>
    <w:rsid w:val="00E61EFC"/>
    <w:rsid w:val="00E62CDA"/>
    <w:rsid w:val="00E75E60"/>
    <w:rsid w:val="00EB377B"/>
    <w:rsid w:val="00EE2F04"/>
    <w:rsid w:val="00F14FDA"/>
    <w:rsid w:val="00F248E6"/>
    <w:rsid w:val="00F2793E"/>
    <w:rsid w:val="00F553A9"/>
    <w:rsid w:val="00F60080"/>
    <w:rsid w:val="00F643E1"/>
    <w:rsid w:val="00F652E7"/>
    <w:rsid w:val="00FA1515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A4B6"/>
  <w15:chartTrackingRefBased/>
  <w15:docId w15:val="{EADBFC22-30B5-4EBE-9CC5-E461A9D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CB"/>
  </w:style>
  <w:style w:type="paragraph" w:styleId="Footer">
    <w:name w:val="footer"/>
    <w:basedOn w:val="Normal"/>
    <w:link w:val="FooterChar"/>
    <w:uiPriority w:val="99"/>
    <w:unhideWhenUsed/>
    <w:rsid w:val="00C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CB"/>
  </w:style>
  <w:style w:type="character" w:styleId="Hyperlink">
    <w:name w:val="Hyperlink"/>
    <w:basedOn w:val="DefaultParagraphFont"/>
    <w:uiPriority w:val="99"/>
    <w:unhideWhenUsed/>
    <w:rsid w:val="005121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18A"/>
    <w:pPr>
      <w:spacing w:line="240" w:lineRule="auto"/>
    </w:pPr>
    <w:rPr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18A"/>
    <w:rPr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-britt.klankwarth@web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imon.fleissner@stud.fra-uas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c.vanhout@ljmu.ac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stoever@fb4.fra-uas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 - Fb4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Fleißner, Simon</dc:creator>
  <cp:keywords/>
  <dc:description/>
  <cp:lastModifiedBy>Van Hout, Marie-Claire</cp:lastModifiedBy>
  <cp:revision>3</cp:revision>
  <dcterms:created xsi:type="dcterms:W3CDTF">2022-04-21T10:49:00Z</dcterms:created>
  <dcterms:modified xsi:type="dcterms:W3CDTF">2022-04-21T10:50:00Z</dcterms:modified>
</cp:coreProperties>
</file>